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360" w:lineRule="auto"/>
        <w:jc w:val="center"/>
        <w:rPr>
          <w:rFonts w:hint="eastAsia" w:ascii="仿宋" w:hAnsi="仿宋" w:eastAsia="仿宋" w:cs="宋体"/>
          <w:color w:val="000000"/>
          <w:kern w:val="0"/>
          <w:sz w:val="24"/>
          <w:szCs w:val="24"/>
          <w:lang w:eastAsia="zh-CN"/>
        </w:rPr>
      </w:pPr>
      <w:r>
        <w:rPr>
          <w:rFonts w:hint="default" w:ascii="仿宋" w:hAnsi="仿宋" w:eastAsia="仿宋" w:cs="宋体"/>
          <w:b/>
          <w:bCs/>
          <w:color w:val="000000"/>
          <w:kern w:val="0"/>
          <w:sz w:val="32"/>
          <w:szCs w:val="32"/>
        </w:rPr>
        <w:t>济南理工学校</w:t>
      </w:r>
      <w:r>
        <w:rPr>
          <w:rFonts w:hint="eastAsia" w:ascii="仿宋" w:hAnsi="仿宋" w:eastAsia="仿宋" w:cs="宋体"/>
          <w:b/>
          <w:bCs/>
          <w:color w:val="000000"/>
          <w:kern w:val="0"/>
          <w:sz w:val="32"/>
          <w:szCs w:val="32"/>
        </w:rPr>
        <w:t>1000M互联网专线接入服务采购</w:t>
      </w:r>
      <w:r>
        <w:rPr>
          <w:rFonts w:hint="eastAsia" w:ascii="仿宋" w:hAnsi="仿宋" w:eastAsia="仿宋" w:cs="宋体"/>
          <w:b/>
          <w:bCs/>
          <w:color w:val="000000"/>
          <w:kern w:val="0"/>
          <w:sz w:val="32"/>
          <w:szCs w:val="32"/>
          <w:lang w:val="en-US" w:eastAsia="zh-CN"/>
        </w:rPr>
        <w:t>需求</w:t>
      </w:r>
    </w:p>
    <w:p>
      <w:pPr>
        <w:widowControl/>
        <w:numPr>
          <w:numId w:val="0"/>
        </w:numPr>
        <w:shd w:val="clear" w:color="auto" w:fill="FFFFFF"/>
        <w:spacing w:line="360" w:lineRule="auto"/>
        <w:jc w:val="left"/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</w:rPr>
        <w:t>项目需求：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jc w:val="left"/>
        <w:rPr>
          <w:rFonts w:hint="default" w:ascii="仿宋" w:hAnsi="仿宋" w:eastAsia="仿宋" w:cs="宋体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/>
          <w:bCs/>
          <w:color w:val="000000"/>
          <w:kern w:val="0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  <w:lang w:val="en-US" w:eastAsia="zh-CN"/>
        </w:rPr>
        <w:t>基础需求类</w:t>
      </w: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（1）本次采购所需为1000M互联网宽带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服务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。</w:t>
      </w: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（2）接入线路及带宽独享使用，不再复用。</w:t>
      </w: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（3）提供使用的公网IPV4地址不做二次转换</w:t>
      </w: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（4）提供1000M/GE端口接入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接入设备安装在客户指定的场地。</w:t>
      </w: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（5）提供光纤链路,自客户机房接入设备到供应商主干网全程采用光纤接入。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、</w:t>
      </w: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（</w:t>
      </w: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/>
        </w:rPr>
        <w:t>6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）与国内一级电信运营商之间均有骨干网的互联互通。到其它运营商网络、教育网及国际线路上无任何访问控制。</w:t>
      </w: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（</w:t>
      </w: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/>
        </w:rPr>
        <w:t>7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）从客户网络设备端口到运营商局端网络设备网络时延≤10ms；从客户网络设备端口到运营商公司局端网络设备网络丢包率≤0.1%。</w:t>
      </w: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（</w:t>
      </w: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/>
        </w:rPr>
        <w:t>8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）为保证网络的高可靠性，运行商核心设备实现主备配置。</w:t>
      </w:r>
    </w:p>
    <w:p>
      <w:pPr>
        <w:ind w:firstLine="560" w:firstLineChars="200"/>
        <w:rPr>
          <w:rFonts w:hint="eastAsia"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（</w:t>
      </w: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/>
        </w:rPr>
        <w:t>9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）符合规范要求的通信网络，并提供全部的电信级接入设备和施工服务。</w:t>
      </w:r>
    </w:p>
    <w:p>
      <w:pP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/>
          <w:bCs/>
          <w:color w:val="000000"/>
          <w:kern w:val="0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  <w:lang w:val="en-US" w:eastAsia="zh-CN"/>
        </w:rPr>
        <w:t>网络管理需求类</w:t>
      </w:r>
    </w:p>
    <w:p>
      <w:pPr>
        <w:rPr>
          <w:rFonts w:hint="default" w:ascii="仿宋" w:hAnsi="仿宋" w:eastAsia="仿宋" w:cs="宋体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运营商提供的网络接入服务应实现以下管理功能：</w:t>
      </w:r>
    </w:p>
    <w:p>
      <w:pP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、带宽分配功能：支持在设置流量策略后，根据整体线路或者某流量通道内的空闲情况，自动启用和停止使用流量控制策略，以提升带宽的高使用率；空闲值可自定义;</w:t>
      </w:r>
    </w:p>
    <w:p>
      <w:pP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、认证方式：支持在终端用户的账号存在微信绑定关系的情况下，PC端的终端用户可以直接使用微信扫码二维码完成密码认证过程，移动端的终端用户，可以直接打开微信扫码完成密码认证过程;</w:t>
      </w:r>
    </w:p>
    <w:p>
      <w:pP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、实现上网管控策略：支持基于用户组、位置、终端类型、URL类型配置上网策略;</w:t>
      </w:r>
    </w:p>
    <w:p>
      <w:pP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、告警管理：支持攻击、双机切换告警、移动终端管理告警、风险终端发现告警、web关键字过滤告警、杀毒告警、设备流量超限告警、磁盘/CPU/内存异常告警等；</w:t>
      </w:r>
    </w:p>
    <w:p>
      <w:pP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、Web访问质量检测：针对内网用户的web访问质量进行检测，对整体网络提供清晰的整体网络质量评级;</w:t>
      </w:r>
    </w:p>
    <w:p>
      <w:pP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、支持权限策略故障排查：支持针对上网权限策略进行检测分析，查看各个应用是否匹配相关策略；</w:t>
      </w:r>
    </w:p>
    <w:p>
      <w:pP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、OA认证:支持通过OAuth认证协议对接，支持阿里钉钉，口袋助理，企业微信第三方账号授权认证；</w:t>
      </w:r>
    </w:p>
    <w:p>
      <w:pP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/>
        </w:rPr>
      </w:pP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、IM审计：支持记录QQ、TIM、钉钉、企点、企业微信、微信、skype、MSN等主流IM聊天行为和内容；</w:t>
      </w:r>
    </w:p>
    <w:p>
      <w:pPr>
        <w:widowControl/>
        <w:shd w:val="clear" w:color="auto" w:fill="FFFFFF"/>
        <w:spacing w:line="360" w:lineRule="auto"/>
        <w:jc w:val="left"/>
        <w:rPr>
          <w:rFonts w:hint="eastAsia"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default" w:ascii="仿宋" w:hAnsi="仿宋" w:eastAsia="仿宋" w:cs="宋体"/>
          <w:b/>
          <w:bCs/>
          <w:color w:val="000000"/>
          <w:kern w:val="0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  <w:lang w:val="en-US" w:eastAsia="zh-CN"/>
        </w:rPr>
        <w:t>网络维护类</w:t>
      </w:r>
    </w:p>
    <w:p>
      <w:pPr>
        <w:tabs>
          <w:tab w:val="left" w:pos="2983"/>
        </w:tabs>
        <w:ind w:firstLine="560" w:firstLineChars="200"/>
        <w:jc w:val="left"/>
        <w:rPr>
          <w:rFonts w:hint="eastAsia"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（</w:t>
      </w: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/>
        </w:rPr>
        <w:t>1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）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提供光纤到机房设备（运营商自有）的维护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，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如出现故障，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响应时间不超过15分钟，服务人员到达现场时间≤</w:t>
      </w: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/>
        </w:rPr>
        <w:t>90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分钟，一般故障解决时限一般不超过</w:t>
      </w: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/>
        </w:rPr>
        <w:t>4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小时，重大故障应在故障恢复后3日内向采购人提交书面处理报告。</w:t>
      </w:r>
    </w:p>
    <w:p>
      <w:pPr>
        <w:tabs>
          <w:tab w:val="left" w:pos="2983"/>
        </w:tabs>
        <w:ind w:firstLine="560" w:firstLineChars="200"/>
        <w:jc w:val="left"/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（</w:t>
      </w: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宋体"/>
          <w:b/>
          <w:bCs/>
          <w:color w:val="000000"/>
          <w:kern w:val="0"/>
          <w:sz w:val="32"/>
          <w:szCs w:val="32"/>
          <w:lang w:val="en-US" w:eastAsia="zh-CN"/>
        </w:rPr>
        <w:t>提供到从机房设备到电脑桌面的网络维护服务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，网络提供商应为我单位提供专业网络维护团队进行网络维护。包含但不限于定期网络线路和设备（运营商提供）的巡检</w:t>
      </w:r>
      <w:r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;</w:t>
      </w: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排除网络系统故障，出现网络故障（机房到电脑桌面类）应在报故障当天到现场配合学校进行故障排查和维修，直到故障解除。</w:t>
      </w:r>
    </w:p>
    <w:p>
      <w:pPr>
        <w:tabs>
          <w:tab w:val="left" w:pos="2983"/>
        </w:tabs>
        <w:ind w:firstLine="643" w:firstLineChars="200"/>
        <w:jc w:val="left"/>
        <w:rPr>
          <w:rFonts w:hint="default" w:ascii="仿宋" w:hAnsi="仿宋" w:eastAsia="仿宋" w:cs="宋体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32"/>
          <w:szCs w:val="32"/>
          <w:lang w:val="en-US" w:eastAsia="zh-CN"/>
        </w:rPr>
        <w:t>（3）提供学校中心机房、弱电间机柜线路按标准整备、交换设备合理规划配置，相关配置数据导出备份。</w:t>
      </w: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ascii="仿宋" w:hAnsi="仿宋" w:eastAsia="仿宋" w:cs="宋体"/>
          <w:color w:val="000000"/>
          <w:kern w:val="0"/>
          <w:sz w:val="28"/>
          <w:szCs w:val="28"/>
        </w:rPr>
      </w:pPr>
    </w:p>
    <w:p>
      <w:pPr>
        <w:widowControl/>
        <w:shd w:val="clear" w:color="auto" w:fill="FFFFFF"/>
        <w:spacing w:line="360" w:lineRule="auto"/>
        <w:ind w:firstLine="480"/>
        <w:jc w:val="left"/>
        <w:rPr>
          <w:rFonts w:hint="eastAsia" w:ascii="仿宋" w:hAnsi="仿宋" w:eastAsia="仿宋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6"/>
          <w:szCs w:val="36"/>
        </w:rPr>
        <w:t>报价表附后</w:t>
      </w:r>
    </w:p>
    <w:p>
      <w:pPr>
        <w:widowControl/>
        <w:shd w:val="clear" w:color="auto" w:fill="FFFFFF"/>
        <w:spacing w:line="360" w:lineRule="auto"/>
        <w:ind w:firstLine="480"/>
        <w:jc w:val="center"/>
        <w:rPr>
          <w:rFonts w:ascii="仿宋" w:hAnsi="仿宋" w:eastAsia="仿宋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32"/>
          <w:szCs w:val="32"/>
          <w:lang w:val="en-US" w:eastAsia="zh-CN"/>
        </w:rPr>
        <w:t>济南理工学校</w:t>
      </w:r>
      <w:r>
        <w:rPr>
          <w:rFonts w:hint="eastAsia" w:ascii="仿宋" w:hAnsi="仿宋" w:eastAsia="仿宋" w:cs="宋体"/>
          <w:b/>
          <w:bCs/>
          <w:color w:val="000000"/>
          <w:kern w:val="0"/>
          <w:sz w:val="32"/>
          <w:szCs w:val="32"/>
        </w:rPr>
        <w:t>1000M互联网专线接入服务报价表</w:t>
      </w:r>
    </w:p>
    <w:p>
      <w:pPr>
        <w:widowControl/>
        <w:shd w:val="clear" w:color="auto" w:fill="FFFFFF"/>
        <w:spacing w:line="360" w:lineRule="auto"/>
        <w:jc w:val="left"/>
        <w:rPr>
          <w:rFonts w:ascii="仿宋" w:hAnsi="仿宋" w:eastAsia="仿宋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color w:val="000000"/>
          <w:kern w:val="0"/>
          <w:sz w:val="28"/>
          <w:szCs w:val="28"/>
        </w:rPr>
        <w:t>报价单位（公章）：</w:t>
      </w:r>
    </w:p>
    <w:tbl>
      <w:tblPr>
        <w:tblStyle w:val="5"/>
        <w:tblW w:w="90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1"/>
        <w:gridCol w:w="5610"/>
        <w:gridCol w:w="1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531" w:type="dxa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项目名称</w:t>
            </w:r>
          </w:p>
        </w:tc>
        <w:tc>
          <w:tcPr>
            <w:tcW w:w="5610" w:type="dxa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项目需求</w:t>
            </w:r>
          </w:p>
        </w:tc>
        <w:tc>
          <w:tcPr>
            <w:tcW w:w="1870" w:type="dxa"/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总价（元/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1" w:type="dxa"/>
            <w:vAlign w:val="center"/>
          </w:tcPr>
          <w:p>
            <w:pPr>
              <w:spacing w:line="360" w:lineRule="auto"/>
              <w:jc w:val="center"/>
            </w:pPr>
            <w:r>
              <w:rPr>
                <w:rFonts w:hint="eastAsia"/>
                <w:sz w:val="24"/>
                <w:szCs w:val="24"/>
              </w:rPr>
              <w:t>1000M互联网专线接入服务</w:t>
            </w:r>
          </w:p>
        </w:tc>
        <w:tc>
          <w:tcPr>
            <w:tcW w:w="5610" w:type="dxa"/>
          </w:tcPr>
          <w:p>
            <w:pPr>
              <w:widowControl/>
              <w:numPr>
                <w:ilvl w:val="0"/>
                <w:numId w:val="0"/>
              </w:numPr>
              <w:shd w:val="clear" w:color="auto" w:fill="FFFFFF"/>
              <w:spacing w:line="360" w:lineRule="auto"/>
              <w:jc w:val="left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基础需求类</w:t>
            </w:r>
          </w:p>
          <w:p>
            <w:pPr>
              <w:widowControl/>
              <w:shd w:val="clear" w:color="auto" w:fill="FFFFFF"/>
              <w:spacing w:line="360" w:lineRule="auto"/>
              <w:ind w:firstLine="480"/>
              <w:jc w:val="left"/>
              <w:rPr>
                <w:rFonts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（1）本次采购所需为1000M互联网宽带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服务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。</w:t>
            </w:r>
          </w:p>
          <w:p>
            <w:pPr>
              <w:widowControl/>
              <w:shd w:val="clear" w:color="auto" w:fill="FFFFFF"/>
              <w:spacing w:line="360" w:lineRule="auto"/>
              <w:ind w:firstLine="480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（2）接入线路及带宽独享使用，不再复用。</w:t>
            </w:r>
          </w:p>
          <w:p>
            <w:pPr>
              <w:widowControl/>
              <w:shd w:val="clear" w:color="auto" w:fill="FFFFFF"/>
              <w:spacing w:line="360" w:lineRule="auto"/>
              <w:ind w:firstLine="480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（3）提供使用的公网IPV4地址不做二次转换</w:t>
            </w:r>
          </w:p>
          <w:p>
            <w:pPr>
              <w:widowControl/>
              <w:shd w:val="clear" w:color="auto" w:fill="FFFFFF"/>
              <w:spacing w:line="360" w:lineRule="auto"/>
              <w:ind w:firstLine="480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（4）提供1000M/GE端口接入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接入设备安装在客户指定的场地。</w:t>
            </w:r>
          </w:p>
          <w:p>
            <w:pPr>
              <w:widowControl/>
              <w:shd w:val="clear" w:color="auto" w:fill="FFFFFF"/>
              <w:spacing w:line="360" w:lineRule="auto"/>
              <w:ind w:firstLine="480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（5）提供光纤链路,自客户机房接入设备到供应商主干网全程采用光纤接入。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eastAsia="zh-CN"/>
              </w:rPr>
              <w:t>、</w:t>
            </w:r>
          </w:p>
          <w:p>
            <w:pPr>
              <w:widowControl/>
              <w:shd w:val="clear" w:color="auto" w:fill="FFFFFF"/>
              <w:spacing w:line="360" w:lineRule="auto"/>
              <w:ind w:firstLine="480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）与国内一级电信运营商之间均有骨干网的互联互通。到其它运营商网络、教育网及国际线路上无任何访问控制。</w:t>
            </w:r>
          </w:p>
          <w:p>
            <w:pPr>
              <w:widowControl/>
              <w:shd w:val="clear" w:color="auto" w:fill="FFFFFF"/>
              <w:spacing w:line="360" w:lineRule="auto"/>
              <w:ind w:firstLine="480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/>
              </w:rPr>
              <w:t>7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）从客户网络设备端口到运营商局端网络设备网络时延≤10ms；从客户网络设备端口到运营商公司局端网络设备网络丢包率≤0.1%。</w:t>
            </w:r>
          </w:p>
          <w:p>
            <w:pPr>
              <w:widowControl/>
              <w:shd w:val="clear" w:color="auto" w:fill="FFFFFF"/>
              <w:spacing w:line="360" w:lineRule="auto"/>
              <w:ind w:firstLine="480"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/>
              </w:rPr>
              <w:t>8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）为保证网络的高可靠性，运行商核心设备实现主备配置。</w:t>
            </w:r>
          </w:p>
          <w:p>
            <w:pPr>
              <w:ind w:firstLine="560" w:firstLineChars="200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/>
              </w:rPr>
              <w:t>9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）符合规范要求的通信网络，并提供全部的电信级接入设备和施工服务。</w:t>
            </w:r>
          </w:p>
          <w:p>
            <w:pP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网络管理需求类</w:t>
            </w:r>
          </w:p>
          <w:p>
            <w:pPr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运营商提供的网络接入服务应实现以下管理功能：</w:t>
            </w:r>
          </w:p>
          <w:p>
            <w:pP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、带宽分配功能：支持在设置流量策略后，根据整体线路或者某流量通道内的空闲情况，自动启用和停止使用流量控制策略，以提升带宽的高使用率；空闲值可自定义;</w:t>
            </w:r>
          </w:p>
          <w:p>
            <w:pP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、认证方式：支持在终端用户的账号存在微信绑定关系的情况下，PC端的终端用户可以直接使用微信扫码二维码完成密码认证过程，移动端的终端用户，可以直接打开微信扫码完成密码认证过程;</w:t>
            </w:r>
          </w:p>
          <w:p>
            <w:pP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、实现上网管控策略：支持基于用户组、位置、终端类型、URL类型配置上网策略;</w:t>
            </w:r>
          </w:p>
          <w:p>
            <w:pP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、告警管理：支持攻击、双机切换告警、移动终端管理告警、风险终端发现告警、web关键字过滤告警、杀毒告警、设备流量超限告警、磁盘/CPU/内存异常告警等；</w:t>
            </w:r>
          </w:p>
          <w:p>
            <w:pP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、Web访问质量检测：针对内网用户的web访问质量进行检测，对整体网络提供清晰的整体网络质量评级;</w:t>
            </w:r>
          </w:p>
          <w:p>
            <w:pP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、支持权限策略故障排查：支持针对上网权限策略进行检测分析，查看各个应用是否匹配相关策略；</w:t>
            </w:r>
          </w:p>
          <w:p>
            <w:pP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、OA认证:支持通过OAuth认证协议对接，支持阿里钉钉，口袋助理，企业微信第三方账号授权认证；</w:t>
            </w:r>
          </w:p>
          <w:p>
            <w:pP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/>
              </w:rPr>
            </w:pPr>
            <w:r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、IM审计：支持记录QQ、TIM、钉钉、企点、企业微信、微信、skype、MSN等主流IM聊天行为和内容；</w:t>
            </w:r>
          </w:p>
          <w:p>
            <w:pPr>
              <w:widowControl/>
              <w:shd w:val="clear" w:color="auto" w:fill="FFFFFF"/>
              <w:spacing w:line="360" w:lineRule="auto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网络维护类</w:t>
            </w:r>
          </w:p>
          <w:p>
            <w:pPr>
              <w:tabs>
                <w:tab w:val="left" w:pos="2983"/>
              </w:tabs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提供光纤到机房设备（运营商自有）的维护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，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如出现故障，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响应时间不超过15分钟，服务人员到达现场时间≤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/>
              </w:rPr>
              <w:t>90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分钟，一般故障解决时限一般不超过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/>
              </w:rPr>
              <w:t>4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t>小时，重大故障应在故障恢复后3日内向采购人提交书面处理报告。</w:t>
            </w:r>
          </w:p>
          <w:p>
            <w:pPr>
              <w:widowControl/>
              <w:shd w:val="clear" w:color="auto" w:fill="FFFFFF"/>
              <w:spacing w:line="360" w:lineRule="auto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提供到从机房设备到电脑桌面的网络维护服务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，网络提供商应为我单位提供专业网络维护团队进行网络维护。包含但不限于定期网络线路和设备（运营商提供）的巡检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;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排除网络系统故障，出现网络故障（机房到电脑桌面类）应在报故障当天到现场配合学校进行故障排查和维修，直到故障解除。</w:t>
            </w:r>
          </w:p>
          <w:p>
            <w:pPr>
              <w:widowControl/>
              <w:shd w:val="clear" w:color="auto" w:fill="FFFFFF"/>
              <w:spacing w:line="360" w:lineRule="auto"/>
              <w:jc w:val="left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（3）提供学校中心机房、弱电间机柜线路按标准整备、交换设备合理规划配置，相关配置数据导出备份。</w:t>
            </w:r>
          </w:p>
          <w:p>
            <w:pPr>
              <w:widowControl/>
              <w:shd w:val="clear" w:color="auto" w:fill="FFFFFF"/>
              <w:spacing w:line="360" w:lineRule="auto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70" w:type="dxa"/>
          </w:tcPr>
          <w:p>
            <w:pPr>
              <w:spacing w:line="360" w:lineRule="auto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spacing w:line="360" w:lineRule="auto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spacing w:line="360" w:lineRule="auto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spacing w:line="360" w:lineRule="auto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spacing w:line="360" w:lineRule="auto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spacing w:line="360" w:lineRule="auto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spacing w:line="360" w:lineRule="auto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spacing w:line="360" w:lineRule="auto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</w:p>
        </w:tc>
      </w:tr>
    </w:tbl>
    <w:p>
      <w:pPr>
        <w:spacing w:line="360" w:lineRule="auto"/>
        <w:jc w:val="left"/>
        <w:rPr>
          <w:rFonts w:hint="default"/>
          <w:sz w:val="28"/>
          <w:szCs w:val="28"/>
          <w:lang w:val="en-US"/>
        </w:rPr>
      </w:pPr>
      <w:r>
        <w:rPr>
          <w:rFonts w:hint="eastAsia"/>
          <w:sz w:val="28"/>
          <w:szCs w:val="28"/>
        </w:rPr>
        <w:t>联系人：</w:t>
      </w:r>
      <w:r>
        <w:rPr>
          <w:rFonts w:hint="default"/>
          <w:sz w:val="28"/>
          <w:szCs w:val="28"/>
          <w:lang w:val="en-US" w:eastAsia="zh-CN"/>
        </w:rPr>
        <w:t xml:space="preserve">    </w:t>
      </w:r>
      <w:r>
        <w:rPr>
          <w:rFonts w:hint="eastAsia"/>
          <w:sz w:val="28"/>
          <w:szCs w:val="28"/>
        </w:rPr>
        <w:t xml:space="preserve">                    </w:t>
      </w:r>
      <w:r>
        <w:rPr>
          <w:rFonts w:hint="default"/>
          <w:sz w:val="28"/>
          <w:szCs w:val="28"/>
          <w:lang w:val="en-US"/>
        </w:rPr>
        <w:t xml:space="preserve">  </w:t>
      </w:r>
      <w:r>
        <w:rPr>
          <w:rFonts w:hint="eastAsia"/>
          <w:sz w:val="28"/>
          <w:szCs w:val="28"/>
        </w:rPr>
        <w:t>联系电话：</w:t>
      </w:r>
      <w:r>
        <w:rPr>
          <w:rFonts w:hint="default"/>
          <w:sz w:val="28"/>
          <w:szCs w:val="28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5ZjRhYzMwYWEwYjMyN2FhMzVkYjdkNDYxODVjMzYifQ=="/>
  </w:docVars>
  <w:rsids>
    <w:rsidRoot w:val="00172A27"/>
    <w:rsid w:val="0001424C"/>
    <w:rsid w:val="00015118"/>
    <w:rsid w:val="000233E4"/>
    <w:rsid w:val="000311F9"/>
    <w:rsid w:val="0005102A"/>
    <w:rsid w:val="00054972"/>
    <w:rsid w:val="00074CF1"/>
    <w:rsid w:val="000831EA"/>
    <w:rsid w:val="00085500"/>
    <w:rsid w:val="00085663"/>
    <w:rsid w:val="0008598B"/>
    <w:rsid w:val="000A3002"/>
    <w:rsid w:val="000C1379"/>
    <w:rsid w:val="000C5580"/>
    <w:rsid w:val="000C6CEB"/>
    <w:rsid w:val="000E1808"/>
    <w:rsid w:val="000E54BF"/>
    <w:rsid w:val="000F4125"/>
    <w:rsid w:val="000F768B"/>
    <w:rsid w:val="0013679C"/>
    <w:rsid w:val="00151061"/>
    <w:rsid w:val="00152770"/>
    <w:rsid w:val="00154DCF"/>
    <w:rsid w:val="00160463"/>
    <w:rsid w:val="00167119"/>
    <w:rsid w:val="00172A27"/>
    <w:rsid w:val="00173AD9"/>
    <w:rsid w:val="00187C10"/>
    <w:rsid w:val="00190F6F"/>
    <w:rsid w:val="001934CE"/>
    <w:rsid w:val="001A07C9"/>
    <w:rsid w:val="001B09CF"/>
    <w:rsid w:val="001C3FD8"/>
    <w:rsid w:val="001D5C7D"/>
    <w:rsid w:val="001E56ED"/>
    <w:rsid w:val="001F5F59"/>
    <w:rsid w:val="00201645"/>
    <w:rsid w:val="0022261F"/>
    <w:rsid w:val="002233D9"/>
    <w:rsid w:val="002249B0"/>
    <w:rsid w:val="00260000"/>
    <w:rsid w:val="002738FB"/>
    <w:rsid w:val="002864F1"/>
    <w:rsid w:val="002867F3"/>
    <w:rsid w:val="002915C1"/>
    <w:rsid w:val="002A25BA"/>
    <w:rsid w:val="002A5EA3"/>
    <w:rsid w:val="002B2915"/>
    <w:rsid w:val="002D03B4"/>
    <w:rsid w:val="002F4041"/>
    <w:rsid w:val="003369E0"/>
    <w:rsid w:val="00344C1D"/>
    <w:rsid w:val="00366A15"/>
    <w:rsid w:val="00370E63"/>
    <w:rsid w:val="00371A98"/>
    <w:rsid w:val="00373CAB"/>
    <w:rsid w:val="00390847"/>
    <w:rsid w:val="003918CA"/>
    <w:rsid w:val="003B12C5"/>
    <w:rsid w:val="003D53CF"/>
    <w:rsid w:val="003E3D12"/>
    <w:rsid w:val="003F2040"/>
    <w:rsid w:val="004050E6"/>
    <w:rsid w:val="00411BEB"/>
    <w:rsid w:val="00411E7E"/>
    <w:rsid w:val="00412BCA"/>
    <w:rsid w:val="00414102"/>
    <w:rsid w:val="00415548"/>
    <w:rsid w:val="00424F7A"/>
    <w:rsid w:val="00432EBD"/>
    <w:rsid w:val="00442062"/>
    <w:rsid w:val="00442E18"/>
    <w:rsid w:val="00453771"/>
    <w:rsid w:val="004704A0"/>
    <w:rsid w:val="004746D5"/>
    <w:rsid w:val="004931FA"/>
    <w:rsid w:val="00494417"/>
    <w:rsid w:val="004A1F75"/>
    <w:rsid w:val="004A7594"/>
    <w:rsid w:val="004E0BE2"/>
    <w:rsid w:val="004E67A2"/>
    <w:rsid w:val="004F2528"/>
    <w:rsid w:val="0050784E"/>
    <w:rsid w:val="00512447"/>
    <w:rsid w:val="00522BF8"/>
    <w:rsid w:val="00524016"/>
    <w:rsid w:val="0054140B"/>
    <w:rsid w:val="00546A62"/>
    <w:rsid w:val="0056227B"/>
    <w:rsid w:val="005623A8"/>
    <w:rsid w:val="005722C0"/>
    <w:rsid w:val="00574651"/>
    <w:rsid w:val="00577961"/>
    <w:rsid w:val="0058015D"/>
    <w:rsid w:val="005B4199"/>
    <w:rsid w:val="005E02A5"/>
    <w:rsid w:val="005E3BD5"/>
    <w:rsid w:val="00625877"/>
    <w:rsid w:val="00633DAA"/>
    <w:rsid w:val="00643286"/>
    <w:rsid w:val="006445EF"/>
    <w:rsid w:val="00645A9C"/>
    <w:rsid w:val="006522E3"/>
    <w:rsid w:val="00661DF9"/>
    <w:rsid w:val="00665B59"/>
    <w:rsid w:val="00670431"/>
    <w:rsid w:val="00681F04"/>
    <w:rsid w:val="006A0950"/>
    <w:rsid w:val="006D3D4F"/>
    <w:rsid w:val="006E5420"/>
    <w:rsid w:val="006F1205"/>
    <w:rsid w:val="006F56C6"/>
    <w:rsid w:val="00722177"/>
    <w:rsid w:val="007330B2"/>
    <w:rsid w:val="00745AA1"/>
    <w:rsid w:val="007511D0"/>
    <w:rsid w:val="00771427"/>
    <w:rsid w:val="00785E13"/>
    <w:rsid w:val="007B78B8"/>
    <w:rsid w:val="007C1975"/>
    <w:rsid w:val="007C2FF5"/>
    <w:rsid w:val="007C5981"/>
    <w:rsid w:val="007D3B26"/>
    <w:rsid w:val="008209D4"/>
    <w:rsid w:val="008212E8"/>
    <w:rsid w:val="00865D1B"/>
    <w:rsid w:val="008665F4"/>
    <w:rsid w:val="00872E02"/>
    <w:rsid w:val="008D7490"/>
    <w:rsid w:val="008F4F2A"/>
    <w:rsid w:val="008F687F"/>
    <w:rsid w:val="0090672B"/>
    <w:rsid w:val="00915E55"/>
    <w:rsid w:val="00951379"/>
    <w:rsid w:val="009526D6"/>
    <w:rsid w:val="00954DFF"/>
    <w:rsid w:val="0097472B"/>
    <w:rsid w:val="009C0D13"/>
    <w:rsid w:val="009C26F2"/>
    <w:rsid w:val="009D19FA"/>
    <w:rsid w:val="009E26FB"/>
    <w:rsid w:val="009F2F14"/>
    <w:rsid w:val="00A029A5"/>
    <w:rsid w:val="00A065DC"/>
    <w:rsid w:val="00A07522"/>
    <w:rsid w:val="00A133DC"/>
    <w:rsid w:val="00A15F55"/>
    <w:rsid w:val="00A16B07"/>
    <w:rsid w:val="00A17739"/>
    <w:rsid w:val="00A17B15"/>
    <w:rsid w:val="00A27065"/>
    <w:rsid w:val="00A34C29"/>
    <w:rsid w:val="00A4468D"/>
    <w:rsid w:val="00A44FBB"/>
    <w:rsid w:val="00A70A84"/>
    <w:rsid w:val="00A94EFB"/>
    <w:rsid w:val="00A95169"/>
    <w:rsid w:val="00AA1367"/>
    <w:rsid w:val="00AA5CDF"/>
    <w:rsid w:val="00AB0467"/>
    <w:rsid w:val="00AB170D"/>
    <w:rsid w:val="00AB5719"/>
    <w:rsid w:val="00AD63D0"/>
    <w:rsid w:val="00AD7ADD"/>
    <w:rsid w:val="00AE1AE1"/>
    <w:rsid w:val="00B32495"/>
    <w:rsid w:val="00B325A4"/>
    <w:rsid w:val="00B3590D"/>
    <w:rsid w:val="00B4176A"/>
    <w:rsid w:val="00B43246"/>
    <w:rsid w:val="00B47E25"/>
    <w:rsid w:val="00B56D82"/>
    <w:rsid w:val="00B64B1C"/>
    <w:rsid w:val="00B72131"/>
    <w:rsid w:val="00B8138A"/>
    <w:rsid w:val="00B9477E"/>
    <w:rsid w:val="00BB27CC"/>
    <w:rsid w:val="00BB3A76"/>
    <w:rsid w:val="00BB59E9"/>
    <w:rsid w:val="00BB5EC1"/>
    <w:rsid w:val="00BC0630"/>
    <w:rsid w:val="00BC20EC"/>
    <w:rsid w:val="00BC4AFC"/>
    <w:rsid w:val="00BD72FF"/>
    <w:rsid w:val="00BF1E33"/>
    <w:rsid w:val="00C11685"/>
    <w:rsid w:val="00C17206"/>
    <w:rsid w:val="00C36B4D"/>
    <w:rsid w:val="00C455C1"/>
    <w:rsid w:val="00C50B49"/>
    <w:rsid w:val="00C56E05"/>
    <w:rsid w:val="00C62913"/>
    <w:rsid w:val="00C70386"/>
    <w:rsid w:val="00C74929"/>
    <w:rsid w:val="00C8553A"/>
    <w:rsid w:val="00C90FEB"/>
    <w:rsid w:val="00C94DA7"/>
    <w:rsid w:val="00CA5294"/>
    <w:rsid w:val="00CC27EB"/>
    <w:rsid w:val="00CC336A"/>
    <w:rsid w:val="00CD68F5"/>
    <w:rsid w:val="00CD6B1F"/>
    <w:rsid w:val="00CE327B"/>
    <w:rsid w:val="00CE42F1"/>
    <w:rsid w:val="00CF1B04"/>
    <w:rsid w:val="00CF7655"/>
    <w:rsid w:val="00D25D31"/>
    <w:rsid w:val="00D322CA"/>
    <w:rsid w:val="00D440FB"/>
    <w:rsid w:val="00D57D79"/>
    <w:rsid w:val="00D90177"/>
    <w:rsid w:val="00D95E64"/>
    <w:rsid w:val="00DA3CC5"/>
    <w:rsid w:val="00DB0F45"/>
    <w:rsid w:val="00DE1427"/>
    <w:rsid w:val="00E0054B"/>
    <w:rsid w:val="00E06A53"/>
    <w:rsid w:val="00E07EA7"/>
    <w:rsid w:val="00E17FAA"/>
    <w:rsid w:val="00E57B37"/>
    <w:rsid w:val="00E73CF6"/>
    <w:rsid w:val="00E75BFD"/>
    <w:rsid w:val="00E95FF6"/>
    <w:rsid w:val="00EB017F"/>
    <w:rsid w:val="00EC0E5B"/>
    <w:rsid w:val="00EE5530"/>
    <w:rsid w:val="00EF151C"/>
    <w:rsid w:val="00EF1829"/>
    <w:rsid w:val="00EF7565"/>
    <w:rsid w:val="00F10CED"/>
    <w:rsid w:val="00F12008"/>
    <w:rsid w:val="00F24C58"/>
    <w:rsid w:val="00F31BC3"/>
    <w:rsid w:val="00F4187B"/>
    <w:rsid w:val="00F42D1C"/>
    <w:rsid w:val="00F51BD5"/>
    <w:rsid w:val="00F526DD"/>
    <w:rsid w:val="00F73213"/>
    <w:rsid w:val="00F769CE"/>
    <w:rsid w:val="00F77F1F"/>
    <w:rsid w:val="00F94210"/>
    <w:rsid w:val="00FA72FD"/>
    <w:rsid w:val="00FC321E"/>
    <w:rsid w:val="00FC4AF0"/>
    <w:rsid w:val="00FD1CAB"/>
    <w:rsid w:val="00FE268B"/>
    <w:rsid w:val="08003F13"/>
    <w:rsid w:val="087E23C1"/>
    <w:rsid w:val="08CF753B"/>
    <w:rsid w:val="0B80382D"/>
    <w:rsid w:val="0E594696"/>
    <w:rsid w:val="105520A6"/>
    <w:rsid w:val="11F10636"/>
    <w:rsid w:val="189A0522"/>
    <w:rsid w:val="1ADC2FAB"/>
    <w:rsid w:val="1BA83BD2"/>
    <w:rsid w:val="1C207ED1"/>
    <w:rsid w:val="264607F4"/>
    <w:rsid w:val="2A15315C"/>
    <w:rsid w:val="2C64039F"/>
    <w:rsid w:val="2C804278"/>
    <w:rsid w:val="33310CA2"/>
    <w:rsid w:val="348C7DFA"/>
    <w:rsid w:val="35A6433F"/>
    <w:rsid w:val="3680392E"/>
    <w:rsid w:val="3B401D00"/>
    <w:rsid w:val="3BB3365D"/>
    <w:rsid w:val="3E0D5044"/>
    <w:rsid w:val="407713F7"/>
    <w:rsid w:val="448E62D5"/>
    <w:rsid w:val="45E314BA"/>
    <w:rsid w:val="45E729C9"/>
    <w:rsid w:val="47EE7B3D"/>
    <w:rsid w:val="4AAA40D5"/>
    <w:rsid w:val="50AF24AD"/>
    <w:rsid w:val="528C57CD"/>
    <w:rsid w:val="53A36E55"/>
    <w:rsid w:val="57B857E2"/>
    <w:rsid w:val="5BD4633C"/>
    <w:rsid w:val="5BE10F04"/>
    <w:rsid w:val="5E5A5799"/>
    <w:rsid w:val="600A4711"/>
    <w:rsid w:val="6185598F"/>
    <w:rsid w:val="67296E00"/>
    <w:rsid w:val="69CC6BE1"/>
    <w:rsid w:val="6CBF2C32"/>
    <w:rsid w:val="714518D5"/>
    <w:rsid w:val="75194446"/>
    <w:rsid w:val="76EF46AE"/>
    <w:rsid w:val="77D32D82"/>
    <w:rsid w:val="789F33DB"/>
    <w:rsid w:val="7DF6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semiHidden/>
    <w:unhideWhenUsed/>
    <w:qFormat/>
    <w:uiPriority w:val="99"/>
    <w:rPr>
      <w:rFonts w:hint="eastAsia" w:ascii="Tahoma" w:hAnsi="Tahoma" w:eastAsia="Tahoma" w:cs="Tahoma"/>
      <w:color w:val="000000"/>
      <w:sz w:val="18"/>
      <w:szCs w:val="18"/>
      <w:u w:val="none"/>
    </w:rPr>
  </w:style>
  <w:style w:type="character" w:styleId="8">
    <w:name w:val="Hyperlink"/>
    <w:basedOn w:val="6"/>
    <w:semiHidden/>
    <w:unhideWhenUsed/>
    <w:qFormat/>
    <w:uiPriority w:val="99"/>
    <w:rPr>
      <w:rFonts w:hint="default" w:ascii="Tahoma" w:hAnsi="Tahoma" w:eastAsia="Tahoma" w:cs="Tahoma"/>
      <w:color w:val="000000"/>
      <w:sz w:val="18"/>
      <w:szCs w:val="18"/>
      <w:u w:val="none"/>
    </w:rPr>
  </w:style>
  <w:style w:type="character" w:customStyle="1" w:styleId="9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sz w:val="18"/>
      <w:szCs w:val="18"/>
    </w:rPr>
  </w:style>
  <w:style w:type="paragraph" w:styleId="11">
    <w:name w:val="No Spacing"/>
    <w:basedOn w:val="1"/>
    <w:qFormat/>
    <w:uiPriority w:val="1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7</Pages>
  <Words>2214</Words>
  <Characters>2334</Characters>
  <Lines>8</Lines>
  <Paragraphs>2</Paragraphs>
  <TotalTime>0</TotalTime>
  <ScaleCrop>false</ScaleCrop>
  <LinksUpToDate>false</LinksUpToDate>
  <CharactersWithSpaces>2364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2021-02-23T09:42:00Z</dcterms:created>
  <dc:creator>USER-</dc:creator>
  <cp:lastModifiedBy>川页</cp:lastModifiedBy>
  <dcterms:modified xsi:type="dcterms:W3CDTF">2022-05-20T08:36:08Z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B2670594B33842CAA93AE144365159B0</vt:lpwstr>
  </property>
</Properties>
</file>