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754B4">
      <w:pPr>
        <w:pStyle w:val="5"/>
        <w:widowControl/>
        <w:spacing w:beforeAutospacing="0" w:afterAutospacing="0" w:line="360" w:lineRule="auto"/>
        <w:rPr>
          <w:rFonts w:hint="eastAsia" w:ascii="黑体" w:hAnsi="黑体" w:eastAsia="黑体" w:cs="黑体"/>
          <w:b w:val="0"/>
          <w:bCs w:val="0"/>
          <w:sz w:val="36"/>
          <w:szCs w:val="36"/>
          <w:lang w:eastAsia="zh-CN"/>
        </w:rPr>
      </w:pPr>
      <w:bookmarkStart w:id="0" w:name="_GoBack"/>
      <w:r>
        <w:rPr>
          <w:rFonts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bookmarkEnd w:id="0"/>
    <w:p w14:paraId="1BFDAEAE">
      <w:pPr>
        <w:pStyle w:val="5"/>
        <w:widowControl/>
        <w:spacing w:beforeAutospacing="0" w:afterAutospacing="0" w:line="360" w:lineRule="auto"/>
        <w:jc w:val="center"/>
        <w:rPr>
          <w:rFonts w:hint="default" w:ascii="黑体" w:hAnsi="黑体" w:eastAsia="黑体" w:cs="黑体"/>
          <w:b w:val="0"/>
          <w:bCs w:val="0"/>
          <w:color w:val="000000"/>
          <w:sz w:val="36"/>
          <w:szCs w:val="36"/>
        </w:rPr>
      </w:pPr>
      <w:r>
        <w:rPr>
          <w:rFonts w:ascii="黑体" w:hAnsi="黑体" w:eastAsia="黑体" w:cs="黑体"/>
          <w:b w:val="0"/>
          <w:bCs w:val="0"/>
          <w:sz w:val="36"/>
          <w:szCs w:val="36"/>
        </w:rPr>
        <w:t>2026年济南理工学校</w:t>
      </w:r>
      <w:r>
        <w:rPr>
          <w:rFonts w:ascii="黑体" w:hAnsi="黑体" w:eastAsia="黑体" w:cs="黑体"/>
          <w:b w:val="0"/>
          <w:bCs w:val="0"/>
          <w:color w:val="000000"/>
          <w:sz w:val="36"/>
          <w:szCs w:val="36"/>
        </w:rPr>
        <w:t>器乐项目测试办法与评分标准</w:t>
      </w:r>
    </w:p>
    <w:p w14:paraId="56789665">
      <w:pPr>
        <w:pStyle w:val="5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sz w:val="28"/>
          <w:szCs w:val="28"/>
        </w:rPr>
        <w:t>为规范我校 2026年艺术特长生（器乐项目）招生测试工作，确保测试的公平、公正、科学与可操作性，特制定本办法与标准。</w:t>
      </w:r>
    </w:p>
    <w:p w14:paraId="5E50AD0C">
      <w:pPr>
        <w:pStyle w:val="25"/>
        <w:numPr>
          <w:ilvl w:val="0"/>
          <w:numId w:val="1"/>
        </w:numPr>
        <w:spacing w:line="360" w:lineRule="auto"/>
        <w:ind w:firstLineChars="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测试项目与分值</w:t>
      </w:r>
    </w:p>
    <w:p w14:paraId="3BEB4DF7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测试总分为100分，由以下三个部分构成：</w:t>
      </w:r>
    </w:p>
    <w:p w14:paraId="05BA8021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（一）</w:t>
      </w:r>
      <w:r>
        <w:rPr>
          <w:rFonts w:hint="eastAsia" w:ascii="仿宋" w:hAnsi="仿宋" w:eastAsia="仿宋" w:cs="仿宋"/>
          <w:sz w:val="28"/>
          <w:szCs w:val="28"/>
        </w:rPr>
        <w:t>器乐演奏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：80分。</w:t>
      </w:r>
    </w:p>
    <w:p w14:paraId="4EC318FF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</w:t>
      </w:r>
      <w:r>
        <w:rPr>
          <w:rFonts w:hint="eastAsia" w:ascii="仿宋" w:hAnsi="仿宋" w:eastAsia="仿宋" w:cs="仿宋"/>
          <w:sz w:val="28"/>
          <w:szCs w:val="28"/>
        </w:rPr>
        <w:t>模唱、模奏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：10分。</w:t>
      </w:r>
    </w:p>
    <w:p w14:paraId="43D7C5C8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</w:t>
      </w:r>
      <w:r>
        <w:rPr>
          <w:rFonts w:hint="eastAsia" w:ascii="仿宋" w:hAnsi="仿宋" w:eastAsia="仿宋" w:cs="仿宋"/>
          <w:sz w:val="28"/>
          <w:szCs w:val="28"/>
        </w:rPr>
        <w:t>加试项：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10分（</w:t>
      </w:r>
      <w:r>
        <w:rPr>
          <w:rFonts w:hint="eastAsia" w:ascii="仿宋" w:hAnsi="仿宋" w:eastAsia="仿宋" w:cs="仿宋"/>
          <w:sz w:val="28"/>
          <w:szCs w:val="28"/>
        </w:rPr>
        <w:t>限定为声乐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）。</w:t>
      </w:r>
    </w:p>
    <w:p w14:paraId="0FC382C6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二、测试内容及要求</w:t>
      </w:r>
    </w:p>
    <w:p w14:paraId="5F0FB31A">
      <w:pPr>
        <w:pStyle w:val="7"/>
        <w:widowControl/>
        <w:spacing w:beforeAutospacing="0" w:afterAutospacing="0" w:line="360" w:lineRule="atLeast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  <w:t>（一）</w:t>
      </w:r>
      <w:r>
        <w:rPr>
          <w:rFonts w:ascii="仿宋" w:hAnsi="仿宋" w:eastAsia="仿宋" w:cs="仿宋"/>
          <w:b w:val="0"/>
          <w:bCs w:val="0"/>
          <w:sz w:val="28"/>
          <w:szCs w:val="28"/>
        </w:rPr>
        <w:t>器乐演奏</w:t>
      </w:r>
      <w:r>
        <w:rPr>
          <w:rFonts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  <w:t>（80 分）</w:t>
      </w:r>
    </w:p>
    <w:p w14:paraId="3B68CDF2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1.内容与要求：考生任选西洋乐器或民族乐器，自选作品一首，时长 5 分钟以内。要求背谱演奏，禁止使用任何音乐伴奏。评委有权现场打断考生表演，指定演奏作品任意段落。</w:t>
      </w:r>
    </w:p>
    <w:p w14:paraId="040352E0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2.考核要点：演奏技巧娴熟度、音准节奏、作品风格把握、音乐表现力。</w:t>
      </w:r>
    </w:p>
    <w:p w14:paraId="502A4A90">
      <w:pPr>
        <w:pStyle w:val="7"/>
        <w:widowControl/>
        <w:spacing w:beforeAutospacing="0" w:afterAutospacing="0" w:line="360" w:lineRule="auto"/>
        <w:ind w:firstLine="560" w:firstLineChars="200"/>
        <w:rPr>
          <w:rFonts w:hint="default"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仿宋" w:hAnsi="仿宋" w:eastAsia="仿宋" w:cs="仿宋"/>
          <w:b w:val="0"/>
          <w:bCs w:val="0"/>
          <w:color w:val="000000"/>
          <w:kern w:val="44"/>
          <w:sz w:val="28"/>
          <w:szCs w:val="28"/>
          <w:lang w:bidi="ar"/>
        </w:rPr>
        <w:t>（二）模唱、模奏（10 分）</w:t>
      </w:r>
    </w:p>
    <w:p w14:paraId="269B675F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1.形式与要求：考生现场抽签抽取试题，按要求完成模唱、模奏测试。</w:t>
      </w:r>
    </w:p>
    <w:p w14:paraId="381F714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2.考核要点：音准把握、节奏精准度、旋律模仿能力。</w:t>
      </w:r>
    </w:p>
    <w:p w14:paraId="3C4635B3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（三）加试项（10 分）</w:t>
      </w:r>
    </w:p>
    <w:p w14:paraId="57F24F6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1.形式与要求：加试项限定为声乐作品演唱，时长不超过3分钟。</w:t>
      </w:r>
    </w:p>
    <w:p w14:paraId="0E3EE34F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2.考核要点：要求作品演绎完整，具备良好舞台表现力与音乐素养。</w:t>
      </w:r>
    </w:p>
    <w:p w14:paraId="71F79312">
      <w:pPr>
        <w:spacing w:line="360" w:lineRule="auto"/>
        <w:ind w:firstLine="560" w:firstLineChars="200"/>
        <w:rPr>
          <w:rFonts w:ascii="黑体" w:hAnsi="黑体" w:eastAsia="黑体" w:cs="黑体"/>
          <w:color w:val="000000"/>
          <w:kern w:val="44"/>
          <w:sz w:val="28"/>
          <w:szCs w:val="28"/>
          <w:lang w:bidi="ar"/>
        </w:rPr>
      </w:pPr>
      <w:r>
        <w:rPr>
          <w:rFonts w:hint="eastAsia" w:ascii="黑体" w:hAnsi="黑体" w:eastAsia="黑体" w:cs="黑体"/>
          <w:color w:val="000000"/>
          <w:kern w:val="44"/>
          <w:sz w:val="28"/>
          <w:szCs w:val="28"/>
          <w:lang w:bidi="ar"/>
        </w:rPr>
        <w:t>三、评分标准</w:t>
      </w:r>
    </w:p>
    <w:p w14:paraId="29AC5291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器乐演奏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评分标准（80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7138"/>
      </w:tblGrid>
      <w:tr w14:paraId="00EE31F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536816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B03E8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3AFE012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2628DA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72—80 分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81DB120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技巧娴熟精准，音准节奏完美，作品风格把握到位，艺术感染力强。</w:t>
            </w:r>
          </w:p>
        </w:tc>
      </w:tr>
      <w:tr w14:paraId="4973BC6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CD1591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64—71 分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9FAAECF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技巧扎实稳定，音准节奏基本准确，细微瑕疵不影响整体。</w:t>
            </w:r>
          </w:p>
        </w:tc>
      </w:tr>
      <w:tr w14:paraId="5A38B83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3906143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56—63 分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FDEC2D2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技巧一般，可完整演奏作品，风格特点有基本体现。</w:t>
            </w:r>
          </w:p>
        </w:tc>
      </w:tr>
      <w:tr w14:paraId="2EA2AAF3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BDF78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48—55 分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227728C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技巧漏洞较多，演奏完整性不足，表现力偏弱。</w:t>
            </w:r>
          </w:p>
        </w:tc>
      </w:tr>
      <w:tr w14:paraId="6AD56FC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9A92EEF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48 分以下</w:t>
            </w:r>
          </w:p>
        </w:tc>
        <w:tc>
          <w:tcPr>
            <w:tcW w:w="71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16DB23C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演奏生疏、节奏混乱，无法完整完成作品。</w:t>
            </w:r>
          </w:p>
        </w:tc>
      </w:tr>
    </w:tbl>
    <w:p w14:paraId="4D70771D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2.模唱、模奏评分标准（10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1"/>
        <w:gridCol w:w="7205"/>
      </w:tblGrid>
      <w:tr w14:paraId="20FE2B6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5F38818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778E202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135DC610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182450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9—10 分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550E623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音准节奏完全准确，旋律还原度高，模仿流畅自然。</w:t>
            </w:r>
          </w:p>
        </w:tc>
      </w:tr>
      <w:tr w14:paraId="663228A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1F8D36D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8 分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8D7FED4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音准节奏基本准确，仅有极轻微偏差。</w:t>
            </w:r>
          </w:p>
        </w:tc>
      </w:tr>
      <w:tr w14:paraId="58BF959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5DB5CC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 分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646C7AA4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存在少量偏差，可完整完成模唱、模奏。</w:t>
            </w:r>
          </w:p>
        </w:tc>
      </w:tr>
      <w:tr w14:paraId="146B1296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D399D22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35E33CF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偏差明显，旋律模仿瑕疵较大。</w:t>
            </w:r>
          </w:p>
        </w:tc>
      </w:tr>
      <w:tr w14:paraId="2D046C5D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D9696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分以下</w:t>
            </w:r>
          </w:p>
        </w:tc>
        <w:tc>
          <w:tcPr>
            <w:tcW w:w="72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4B144E4">
            <w:pPr>
              <w:widowControl/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音准节奏混乱，无法完成模唱、模奏。</w:t>
            </w:r>
          </w:p>
        </w:tc>
      </w:tr>
    </w:tbl>
    <w:p w14:paraId="735A3D46">
      <w:pPr>
        <w:spacing w:line="360" w:lineRule="auto"/>
        <w:ind w:firstLine="560" w:firstLineChars="200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3.加试项评分标准（10 分）</w:t>
      </w:r>
    </w:p>
    <w:tbl>
      <w:tblPr>
        <w:tblStyle w:val="15"/>
        <w:tblW w:w="0" w:type="auto"/>
        <w:jc w:val="center"/>
        <w:tblBorders>
          <w:top w:val="none" w:color="auto" w:sz="4" w:space="0"/>
          <w:left w:val="none" w:color="auto" w:sz="4" w:space="0"/>
          <w:bottom w:val="none" w:color="auto" w:sz="4" w:space="0"/>
          <w:right w:val="none" w:color="auto" w:sz="4" w:space="0"/>
          <w:insideH w:val="none" w:color="auto" w:sz="4" w:space="0"/>
          <w:insideV w:val="non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7247"/>
      </w:tblGrid>
      <w:tr w14:paraId="18AEFC4B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4285688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分值区间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BD38590">
            <w:pPr>
              <w:snapToGrid w:val="0"/>
              <w:jc w:val="center"/>
              <w:rPr>
                <w:rFonts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44"/>
                <w:sz w:val="28"/>
                <w:szCs w:val="28"/>
                <w:lang w:bidi="ar"/>
              </w:rPr>
              <w:t>评分标准描述</w:t>
            </w:r>
          </w:p>
        </w:tc>
      </w:tr>
      <w:tr w14:paraId="4236F394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A66893C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9—10 分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E6BEEA8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演奏完整流畅，技巧娴熟，舞台表现力强。。</w:t>
            </w:r>
          </w:p>
        </w:tc>
      </w:tr>
      <w:tr w14:paraId="4DCFD507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0AB1539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8 分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C4CE87A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作品演奏完整，无明显失误，舞台表现自然。</w:t>
            </w:r>
          </w:p>
        </w:tc>
      </w:tr>
      <w:tr w14:paraId="0E8BA248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740B764A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7 分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B42593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基本完成演奏，轻微瑕疵不影响整体效果。</w:t>
            </w:r>
          </w:p>
        </w:tc>
      </w:tr>
      <w:tr w14:paraId="60E3721A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449EB75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56E1A99E">
            <w:pPr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演奏完整性不足，舞台表现力偏弱。</w:t>
            </w:r>
          </w:p>
        </w:tc>
      </w:tr>
      <w:tr w14:paraId="15342A0C">
        <w:tblPrEx>
          <w:tblBorders>
            <w:top w:val="none" w:color="auto" w:sz="4" w:space="0"/>
            <w:left w:val="none" w:color="auto" w:sz="4" w:space="0"/>
            <w:bottom w:val="none" w:color="auto" w:sz="4" w:space="0"/>
            <w:right w:val="non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359C0D9B">
            <w:pPr>
              <w:snapToGrid w:val="0"/>
              <w:jc w:val="center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6 分以下</w:t>
            </w:r>
          </w:p>
        </w:tc>
        <w:tc>
          <w:tcPr>
            <w:tcW w:w="7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41BC4481">
            <w:pPr>
              <w:widowControl/>
              <w:snapToGrid w:val="0"/>
              <w:jc w:val="left"/>
              <w:rPr>
                <w:rFonts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44"/>
                <w:sz w:val="28"/>
                <w:szCs w:val="28"/>
                <w:lang w:bidi="ar"/>
              </w:rPr>
              <w:t>无法正常完成作品展示。</w:t>
            </w:r>
          </w:p>
        </w:tc>
      </w:tr>
    </w:tbl>
    <w:p w14:paraId="082E23DA">
      <w:pPr>
        <w:pStyle w:val="6"/>
        <w:widowControl/>
        <w:spacing w:beforeAutospacing="0" w:afterAutospacing="0" w:line="360" w:lineRule="atLeast"/>
        <w:ind w:firstLine="560" w:firstLineChars="200"/>
        <w:rPr>
          <w:rFonts w:hint="default"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</w:pPr>
      <w:r>
        <w:rPr>
          <w:rFonts w:ascii="黑体" w:hAnsi="黑体" w:eastAsia="黑体" w:cs="黑体"/>
          <w:b w:val="0"/>
          <w:bCs w:val="0"/>
          <w:color w:val="000000"/>
          <w:kern w:val="44"/>
          <w:sz w:val="28"/>
          <w:szCs w:val="28"/>
          <w:lang w:bidi="ar"/>
        </w:rPr>
        <w:t>四、附则</w:t>
      </w:r>
    </w:p>
    <w:p w14:paraId="7211BC54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(一）考生须按指定时间参加测试，严格遵守考场纪律，独立完成所有项目。</w:t>
      </w:r>
    </w:p>
    <w:p w14:paraId="1CC8D9D5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（二） 器乐类考生除钢琴之外，其他乐器由考生自备。声乐加试项可清唱或者用自备伴奏设备（禁手机）播放伴奏音乐，禁带钢琴伴奏老师。</w:t>
      </w:r>
    </w:p>
    <w:p w14:paraId="086BBBC7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（三）评委组由学校聘请第三方担任评委进行测试，依上述标准独立评分。</w:t>
      </w:r>
    </w:p>
    <w:p w14:paraId="2CECD9FE">
      <w:pPr>
        <w:widowControl/>
        <w:spacing w:line="360" w:lineRule="auto"/>
        <w:ind w:firstLine="560" w:firstLineChars="200"/>
        <w:jc w:val="left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（四）最终成绩为</w:t>
      </w:r>
      <w:r>
        <w:rPr>
          <w:rFonts w:hint="eastAsia" w:ascii="仿宋" w:hAnsi="仿宋" w:eastAsia="仿宋" w:cs="仿宋"/>
          <w:sz w:val="28"/>
          <w:szCs w:val="28"/>
        </w:rPr>
        <w:t>器乐演奏</w:t>
      </w:r>
      <w:r>
        <w:rPr>
          <w:rFonts w:hint="eastAsia" w:ascii="仿宋" w:hAnsi="仿宋" w:eastAsia="仿宋" w:cs="仿宋"/>
          <w:color w:val="000000"/>
          <w:kern w:val="44"/>
          <w:sz w:val="28"/>
          <w:szCs w:val="28"/>
          <w:lang w:bidi="ar"/>
        </w:rPr>
        <w:t>、模唱模奏、加试项三项得分之和。</w:t>
      </w:r>
    </w:p>
    <w:p w14:paraId="02B1E3C4">
      <w:pPr>
        <w:spacing w:line="360" w:lineRule="auto"/>
        <w:rPr>
          <w:rFonts w:ascii="仿宋" w:hAnsi="仿宋" w:eastAsia="仿宋" w:cs="仿宋"/>
          <w:color w:val="000000"/>
          <w:kern w:val="44"/>
          <w:sz w:val="28"/>
          <w:szCs w:val="28"/>
          <w:lang w:bidi="ar"/>
        </w:rPr>
      </w:pPr>
    </w:p>
    <w:p w14:paraId="46E7C53E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0DED08A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DE90006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3E9294F8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2D1CB9E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A1D7F76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773FEF01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3A477E7B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60AD65D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601CAB84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6F6E4B4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402C61F4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47519A96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p w14:paraId="52830630">
      <w:pPr>
        <w:pStyle w:val="12"/>
        <w:widowControl/>
        <w:shd w:val="clear" w:color="auto" w:fill="FFFFFF"/>
        <w:spacing w:beforeAutospacing="0" w:afterAutospacing="0" w:line="420" w:lineRule="atLeast"/>
        <w:jc w:val="both"/>
        <w:rPr>
          <w:rFonts w:hint="eastAsia" w:ascii="PingFangSC-Light" w:hAnsi="PingFangSC-Light" w:cs="PingFangSC-Light"/>
          <w:spacing w:val="23"/>
          <w:sz w:val="32"/>
          <w:szCs w:val="32"/>
          <w:shd w:val="clear" w:color="auto" w:fill="FFFFFF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59827D-9718-4240-A714-239E88F6E0D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0CDEF4F-8939-484C-849A-E55956E65533}"/>
  </w:font>
  <w:font w:name="PingFangSC-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A2D07AFB-6F5D-48C4-B6AE-4B2770C20EFD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9D1DB5"/>
    <w:multiLevelType w:val="multilevel"/>
    <w:tmpl w:val="6C9D1DB5"/>
    <w:lvl w:ilvl="0" w:tentative="0">
      <w:start w:val="1"/>
      <w:numFmt w:val="none"/>
      <w:lvlText w:val="一、"/>
      <w:lvlJc w:val="left"/>
      <w:pPr>
        <w:ind w:left="128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620910"/>
    <w:rsid w:val="000740AD"/>
    <w:rsid w:val="000F2C14"/>
    <w:rsid w:val="00146254"/>
    <w:rsid w:val="00171DB4"/>
    <w:rsid w:val="00187D97"/>
    <w:rsid w:val="00233A09"/>
    <w:rsid w:val="00277EF6"/>
    <w:rsid w:val="002C13C6"/>
    <w:rsid w:val="00301B70"/>
    <w:rsid w:val="00382197"/>
    <w:rsid w:val="003B1C33"/>
    <w:rsid w:val="00406CE4"/>
    <w:rsid w:val="00486261"/>
    <w:rsid w:val="00551FCC"/>
    <w:rsid w:val="005553CB"/>
    <w:rsid w:val="00570E84"/>
    <w:rsid w:val="0057707C"/>
    <w:rsid w:val="005A3E8F"/>
    <w:rsid w:val="005C7E53"/>
    <w:rsid w:val="005D0592"/>
    <w:rsid w:val="00604B33"/>
    <w:rsid w:val="006A65B5"/>
    <w:rsid w:val="00717EB8"/>
    <w:rsid w:val="008C771B"/>
    <w:rsid w:val="008D2E6B"/>
    <w:rsid w:val="008E2A0E"/>
    <w:rsid w:val="00A43CF4"/>
    <w:rsid w:val="00A720E0"/>
    <w:rsid w:val="00AC2BCE"/>
    <w:rsid w:val="00AE4B20"/>
    <w:rsid w:val="00B3723B"/>
    <w:rsid w:val="00C1642E"/>
    <w:rsid w:val="00CC32EC"/>
    <w:rsid w:val="00CE6751"/>
    <w:rsid w:val="00E02A9A"/>
    <w:rsid w:val="00E57087"/>
    <w:rsid w:val="00EA2BE0"/>
    <w:rsid w:val="00ED7156"/>
    <w:rsid w:val="02072A78"/>
    <w:rsid w:val="033A6ADF"/>
    <w:rsid w:val="03914CEF"/>
    <w:rsid w:val="04272E41"/>
    <w:rsid w:val="048B3E34"/>
    <w:rsid w:val="04A5262D"/>
    <w:rsid w:val="04D66BFE"/>
    <w:rsid w:val="053F077B"/>
    <w:rsid w:val="056D27B3"/>
    <w:rsid w:val="060C76A3"/>
    <w:rsid w:val="066527F7"/>
    <w:rsid w:val="06654211"/>
    <w:rsid w:val="06726B3C"/>
    <w:rsid w:val="06E635A4"/>
    <w:rsid w:val="078D1A39"/>
    <w:rsid w:val="07E91FB7"/>
    <w:rsid w:val="08597DA5"/>
    <w:rsid w:val="087D3A94"/>
    <w:rsid w:val="0A65751F"/>
    <w:rsid w:val="0ACF3E94"/>
    <w:rsid w:val="0B901D30"/>
    <w:rsid w:val="0BE5207C"/>
    <w:rsid w:val="0DE85E53"/>
    <w:rsid w:val="0E084E96"/>
    <w:rsid w:val="0E501518"/>
    <w:rsid w:val="0E8611C8"/>
    <w:rsid w:val="0E913ED8"/>
    <w:rsid w:val="0EFE39F8"/>
    <w:rsid w:val="0FA04579"/>
    <w:rsid w:val="102139A6"/>
    <w:rsid w:val="10AE35A2"/>
    <w:rsid w:val="12046FD4"/>
    <w:rsid w:val="12661A3D"/>
    <w:rsid w:val="127961AB"/>
    <w:rsid w:val="138F0F48"/>
    <w:rsid w:val="13A02D2C"/>
    <w:rsid w:val="13C407C9"/>
    <w:rsid w:val="13FD017F"/>
    <w:rsid w:val="152F6BE2"/>
    <w:rsid w:val="162E08A5"/>
    <w:rsid w:val="16CA69D4"/>
    <w:rsid w:val="176C0F1B"/>
    <w:rsid w:val="17A7096D"/>
    <w:rsid w:val="183766D4"/>
    <w:rsid w:val="18E64905"/>
    <w:rsid w:val="1A230ABD"/>
    <w:rsid w:val="1C313073"/>
    <w:rsid w:val="1D992CC6"/>
    <w:rsid w:val="1DE57CB9"/>
    <w:rsid w:val="1E141F7A"/>
    <w:rsid w:val="1F0E1492"/>
    <w:rsid w:val="1F3621EB"/>
    <w:rsid w:val="1F387A52"/>
    <w:rsid w:val="205253AE"/>
    <w:rsid w:val="20A35C0A"/>
    <w:rsid w:val="21E32217"/>
    <w:rsid w:val="2232524E"/>
    <w:rsid w:val="2281165D"/>
    <w:rsid w:val="22B81E40"/>
    <w:rsid w:val="23AB3753"/>
    <w:rsid w:val="23CA6015"/>
    <w:rsid w:val="24B5389E"/>
    <w:rsid w:val="24DE37EB"/>
    <w:rsid w:val="255E7880"/>
    <w:rsid w:val="25684603"/>
    <w:rsid w:val="26121868"/>
    <w:rsid w:val="26DB60FD"/>
    <w:rsid w:val="26E2748C"/>
    <w:rsid w:val="26E56F7C"/>
    <w:rsid w:val="27313F6F"/>
    <w:rsid w:val="27620910"/>
    <w:rsid w:val="27692B08"/>
    <w:rsid w:val="278F23BE"/>
    <w:rsid w:val="28321D4D"/>
    <w:rsid w:val="28761CCA"/>
    <w:rsid w:val="28E868B0"/>
    <w:rsid w:val="29087613"/>
    <w:rsid w:val="29174D4F"/>
    <w:rsid w:val="2ABF1892"/>
    <w:rsid w:val="2AF00502"/>
    <w:rsid w:val="2BA56CDA"/>
    <w:rsid w:val="2CDB02CC"/>
    <w:rsid w:val="2D087520"/>
    <w:rsid w:val="2D382D09"/>
    <w:rsid w:val="2D7637EC"/>
    <w:rsid w:val="2E484723"/>
    <w:rsid w:val="2ED31DB0"/>
    <w:rsid w:val="2F503401"/>
    <w:rsid w:val="3182063B"/>
    <w:rsid w:val="323F0ED4"/>
    <w:rsid w:val="32BB5035"/>
    <w:rsid w:val="33B85A09"/>
    <w:rsid w:val="340A0022"/>
    <w:rsid w:val="351B7189"/>
    <w:rsid w:val="353B59DD"/>
    <w:rsid w:val="355C665B"/>
    <w:rsid w:val="365B4010"/>
    <w:rsid w:val="36781EAF"/>
    <w:rsid w:val="37FC4126"/>
    <w:rsid w:val="388C1AC9"/>
    <w:rsid w:val="38912AC0"/>
    <w:rsid w:val="38A31F2B"/>
    <w:rsid w:val="38E928FC"/>
    <w:rsid w:val="38F117B0"/>
    <w:rsid w:val="39706B79"/>
    <w:rsid w:val="397217E6"/>
    <w:rsid w:val="39D16C66"/>
    <w:rsid w:val="3A0A0D7C"/>
    <w:rsid w:val="3A282FB0"/>
    <w:rsid w:val="3A944AE9"/>
    <w:rsid w:val="3AAA0646"/>
    <w:rsid w:val="3C44609B"/>
    <w:rsid w:val="3CA2092A"/>
    <w:rsid w:val="3D1C4922"/>
    <w:rsid w:val="3D956F18"/>
    <w:rsid w:val="3E1877DF"/>
    <w:rsid w:val="3FA04C43"/>
    <w:rsid w:val="3FE406A9"/>
    <w:rsid w:val="3FE47979"/>
    <w:rsid w:val="405759DA"/>
    <w:rsid w:val="417F2E60"/>
    <w:rsid w:val="419B050B"/>
    <w:rsid w:val="41CE32BD"/>
    <w:rsid w:val="4202058A"/>
    <w:rsid w:val="42DF5FDB"/>
    <w:rsid w:val="43284021"/>
    <w:rsid w:val="445873BA"/>
    <w:rsid w:val="446B446C"/>
    <w:rsid w:val="44B50938"/>
    <w:rsid w:val="44BE2E8F"/>
    <w:rsid w:val="45636D12"/>
    <w:rsid w:val="45D777CC"/>
    <w:rsid w:val="45F13B3D"/>
    <w:rsid w:val="46A7666E"/>
    <w:rsid w:val="46AE0CE1"/>
    <w:rsid w:val="471F1BDF"/>
    <w:rsid w:val="477D2B80"/>
    <w:rsid w:val="48246C6B"/>
    <w:rsid w:val="48CB0489"/>
    <w:rsid w:val="4A722025"/>
    <w:rsid w:val="4AC6343C"/>
    <w:rsid w:val="4AF40FA1"/>
    <w:rsid w:val="4B3A7D12"/>
    <w:rsid w:val="4B4D7D99"/>
    <w:rsid w:val="4BE07B8E"/>
    <w:rsid w:val="4D07114B"/>
    <w:rsid w:val="4D8602C2"/>
    <w:rsid w:val="4DB63E04"/>
    <w:rsid w:val="4EAA7467"/>
    <w:rsid w:val="4EC217CD"/>
    <w:rsid w:val="4F231B40"/>
    <w:rsid w:val="4F674123"/>
    <w:rsid w:val="4F703647"/>
    <w:rsid w:val="503F3F1D"/>
    <w:rsid w:val="50610B72"/>
    <w:rsid w:val="50884351"/>
    <w:rsid w:val="51856AE2"/>
    <w:rsid w:val="51AE611E"/>
    <w:rsid w:val="52B86683"/>
    <w:rsid w:val="52BA7E5F"/>
    <w:rsid w:val="53A414A2"/>
    <w:rsid w:val="540C5299"/>
    <w:rsid w:val="546B1FBF"/>
    <w:rsid w:val="54A67298"/>
    <w:rsid w:val="54BA6461"/>
    <w:rsid w:val="55320D2F"/>
    <w:rsid w:val="55476229"/>
    <w:rsid w:val="5661367A"/>
    <w:rsid w:val="56DB69E5"/>
    <w:rsid w:val="570F0B49"/>
    <w:rsid w:val="5714675F"/>
    <w:rsid w:val="576176AA"/>
    <w:rsid w:val="57D170AE"/>
    <w:rsid w:val="58CA0AC5"/>
    <w:rsid w:val="59365E5C"/>
    <w:rsid w:val="59575208"/>
    <w:rsid w:val="595B0854"/>
    <w:rsid w:val="5A216811"/>
    <w:rsid w:val="5A566598"/>
    <w:rsid w:val="5AC86A28"/>
    <w:rsid w:val="5BAA41FD"/>
    <w:rsid w:val="5BE75DE0"/>
    <w:rsid w:val="5D485594"/>
    <w:rsid w:val="5D8E5784"/>
    <w:rsid w:val="5E0F1C0D"/>
    <w:rsid w:val="5EB629D1"/>
    <w:rsid w:val="5EB86749"/>
    <w:rsid w:val="5F105C3D"/>
    <w:rsid w:val="5F6219AC"/>
    <w:rsid w:val="600A7C53"/>
    <w:rsid w:val="605628FC"/>
    <w:rsid w:val="608E6815"/>
    <w:rsid w:val="62221847"/>
    <w:rsid w:val="62581254"/>
    <w:rsid w:val="62DD1D66"/>
    <w:rsid w:val="63E36016"/>
    <w:rsid w:val="646A4041"/>
    <w:rsid w:val="65752893"/>
    <w:rsid w:val="657E2CB5"/>
    <w:rsid w:val="6657754C"/>
    <w:rsid w:val="665876E7"/>
    <w:rsid w:val="66A656AE"/>
    <w:rsid w:val="672E13EE"/>
    <w:rsid w:val="673E3563"/>
    <w:rsid w:val="6949691B"/>
    <w:rsid w:val="694D7E9B"/>
    <w:rsid w:val="69A406E6"/>
    <w:rsid w:val="6AC467CC"/>
    <w:rsid w:val="6AC9176D"/>
    <w:rsid w:val="6B697E6E"/>
    <w:rsid w:val="6CC35D21"/>
    <w:rsid w:val="6CCE68E3"/>
    <w:rsid w:val="6DD5660D"/>
    <w:rsid w:val="6E090EFD"/>
    <w:rsid w:val="6EA14B04"/>
    <w:rsid w:val="6EBE7FC3"/>
    <w:rsid w:val="6F321C00"/>
    <w:rsid w:val="6F6F69B0"/>
    <w:rsid w:val="6F7044D6"/>
    <w:rsid w:val="70871AD7"/>
    <w:rsid w:val="70BF5715"/>
    <w:rsid w:val="71D64AC4"/>
    <w:rsid w:val="720A5AC6"/>
    <w:rsid w:val="731F7BB0"/>
    <w:rsid w:val="733E5017"/>
    <w:rsid w:val="743255D8"/>
    <w:rsid w:val="74771A11"/>
    <w:rsid w:val="751B4EF5"/>
    <w:rsid w:val="753252DA"/>
    <w:rsid w:val="754E52B9"/>
    <w:rsid w:val="75D837BA"/>
    <w:rsid w:val="760A29C7"/>
    <w:rsid w:val="76944F4E"/>
    <w:rsid w:val="76DD06A3"/>
    <w:rsid w:val="76DD4B47"/>
    <w:rsid w:val="76F012FB"/>
    <w:rsid w:val="771C566F"/>
    <w:rsid w:val="773F3295"/>
    <w:rsid w:val="77C13344"/>
    <w:rsid w:val="77E1657D"/>
    <w:rsid w:val="78465777"/>
    <w:rsid w:val="78B02345"/>
    <w:rsid w:val="796D6DEC"/>
    <w:rsid w:val="797E09A9"/>
    <w:rsid w:val="79FA156C"/>
    <w:rsid w:val="7A37456E"/>
    <w:rsid w:val="7AE73374"/>
    <w:rsid w:val="7B072192"/>
    <w:rsid w:val="7B38234C"/>
    <w:rsid w:val="7B8C6B3B"/>
    <w:rsid w:val="7BCC6850"/>
    <w:rsid w:val="7BF145B3"/>
    <w:rsid w:val="7C9C5993"/>
    <w:rsid w:val="7D6A6A08"/>
    <w:rsid w:val="7DFF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6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7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420" w:firstLineChars="200"/>
    </w:pPr>
    <w:rPr>
      <w:rFonts w:ascii="Calibri" w:hAnsi="Calibri" w:cs="Calibri"/>
      <w:szCs w:val="21"/>
    </w:rPr>
  </w:style>
  <w:style w:type="paragraph" w:styleId="3">
    <w:name w:val="Body Text Indent"/>
    <w:basedOn w:val="1"/>
    <w:next w:val="4"/>
    <w:semiHidden/>
    <w:qFormat/>
    <w:uiPriority w:val="99"/>
    <w:pPr>
      <w:spacing w:after="120"/>
      <w:ind w:left="420" w:leftChars="200"/>
    </w:pPr>
  </w:style>
  <w:style w:type="paragraph" w:styleId="4">
    <w:name w:val="Normal Indent"/>
    <w:basedOn w:val="1"/>
    <w:qFormat/>
    <w:uiPriority w:val="99"/>
    <w:pPr>
      <w:ind w:firstLine="420"/>
    </w:pPr>
  </w:style>
  <w:style w:type="paragraph" w:styleId="8">
    <w:name w:val="annotation text"/>
    <w:basedOn w:val="1"/>
    <w:link w:val="21"/>
    <w:qFormat/>
    <w:uiPriority w:val="0"/>
    <w:pPr>
      <w:jc w:val="left"/>
    </w:pPr>
  </w:style>
  <w:style w:type="paragraph" w:styleId="9">
    <w:name w:val="Balloon Text"/>
    <w:basedOn w:val="1"/>
    <w:link w:val="23"/>
    <w:qFormat/>
    <w:uiPriority w:val="0"/>
    <w:rPr>
      <w:sz w:val="18"/>
      <w:szCs w:val="18"/>
    </w:rPr>
  </w:style>
  <w:style w:type="paragraph" w:styleId="10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3">
    <w:name w:val="annotation subject"/>
    <w:basedOn w:val="8"/>
    <w:next w:val="8"/>
    <w:link w:val="20"/>
    <w:qFormat/>
    <w:uiPriority w:val="0"/>
    <w:rPr>
      <w:b/>
      <w:bCs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basedOn w:val="16"/>
    <w:qFormat/>
    <w:uiPriority w:val="0"/>
    <w:rPr>
      <w:color w:val="0000FF"/>
      <w:u w:val="single"/>
    </w:rPr>
  </w:style>
  <w:style w:type="character" w:styleId="19">
    <w:name w:val="annotation reference"/>
    <w:basedOn w:val="16"/>
    <w:qFormat/>
    <w:uiPriority w:val="0"/>
    <w:rPr>
      <w:sz w:val="21"/>
      <w:szCs w:val="21"/>
    </w:rPr>
  </w:style>
  <w:style w:type="character" w:customStyle="1" w:styleId="20">
    <w:name w:val="批注主题 字符"/>
    <w:basedOn w:val="21"/>
    <w:link w:val="13"/>
    <w:qFormat/>
    <w:uiPriority w:val="0"/>
    <w:rPr>
      <w:rFonts w:asciiTheme="minorHAnsi" w:hAnsiTheme="minorHAnsi" w:eastAsiaTheme="minorEastAsia" w:cstheme="minorBidi"/>
      <w:b/>
      <w:bCs/>
      <w:kern w:val="2"/>
      <w:sz w:val="21"/>
      <w:szCs w:val="24"/>
    </w:rPr>
  </w:style>
  <w:style w:type="character" w:customStyle="1" w:styleId="21">
    <w:name w:val="批注文字 字符"/>
    <w:basedOn w:val="16"/>
    <w:link w:val="8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customStyle="1" w:styleId="22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23">
    <w:name w:val="批注框文本 字符"/>
    <w:basedOn w:val="16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table" w:customStyle="1" w:styleId="2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987</Words>
  <Characters>1024</Characters>
  <Lines>51</Lines>
  <Paragraphs>14</Paragraphs>
  <TotalTime>15</TotalTime>
  <ScaleCrop>false</ScaleCrop>
  <LinksUpToDate>false</LinksUpToDate>
  <CharactersWithSpaces>1049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2026-05-07T13:17:00Z</dcterms:created>
  <dc:creator>Administrator</dc:creator>
  <cp:lastModifiedBy>YIN</cp:lastModifiedBy>
  <cp:lastPrinted>2026-05-07T07:36:00Z</cp:lastPrinted>
  <dcterms:modified xsi:type="dcterms:W3CDTF">2026-05-18T00:16:43Z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eyJoZGlkIjoiODlhNjE0YTY2NDBhYjEzNTI5YzYwMmUxYTlkMTY3ZDAiLCJ1c2VySWQiOiIyMTU1MDg5MDYifQ==</vt:lpwstr>
  </property>
  <property fmtid="{D5CDD505-2E9C-101B-9397-08002B2CF9AE}" pid="3" name="KSOProductBuildVer">
    <vt:lpwstr>2052-12.1.0.26375</vt:lpwstr>
  </property>
  <property fmtid="{D5CDD505-2E9C-101B-9397-08002B2CF9AE}" pid="4" name="ICV">
    <vt:lpwstr>E36C57E6CED1434FA620850F2A055A9D_13</vt:lpwstr>
  </property>
</Properties>
</file>